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April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May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Apr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May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Jun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5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May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June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Jul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40" w:line="240" w:lineRule="auto"/>
              <w:rPr>
                <w:rFonts w:ascii="Arial" w:cs="Arial" w:eastAsia="Arial" w:hAnsi="Arial"/>
                <w:b w:val="1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3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7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righ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892C53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892C53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892C53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892C53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892C53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892C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892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2C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June-2026" TargetMode="External"/><Relationship Id="rId10" Type="http://schemas.openxmlformats.org/officeDocument/2006/relationships/hyperlink" Target="https://www.wincalendar.com/Holiday-Calendar/April-2026" TargetMode="External"/><Relationship Id="rId13" Type="http://schemas.openxmlformats.org/officeDocument/2006/relationships/hyperlink" Target="https://www.wincalendar.com/Holiday-Calendar/July-2026" TargetMode="External"/><Relationship Id="rId12" Type="http://schemas.openxmlformats.org/officeDocument/2006/relationships/hyperlink" Target="https://www.wincalendar.com/Holiday-Calendar/May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March-2026" TargetMode="External"/><Relationship Id="rId8" Type="http://schemas.openxmlformats.org/officeDocument/2006/relationships/hyperlink" Target="https://www.wincalendar.com/Holiday-Calendar/May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fch22qX/ZFRYb1jpzkVLZvRuw==">CgMxLjAyCGguZ2pkZ3hzMgloLjMwajB6bGw4AHIhMVB4enpHNlc2aTMyenZHRU05WGxkdUs4UXVTc1RzTHVm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2024-10-27T21:38:00Z</dcterms:created>
  <dc:creator>WinCalendar.com</dc:creator>
</cp:coreProperties>
</file>